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A1D35" w14:textId="77777777" w:rsidR="00296174" w:rsidRPr="008C13A3" w:rsidRDefault="00296174" w:rsidP="00296174">
      <w:pPr>
        <w:ind w:left="426" w:right="-17"/>
        <w:jc w:val="center"/>
        <w:rPr>
          <w:rFonts w:ascii="Arial" w:hAnsi="Arial" w:cs="Arial"/>
          <w:b/>
        </w:rPr>
      </w:pPr>
      <w:bookmarkStart w:id="0" w:name="_Hlk142658039"/>
    </w:p>
    <w:p w14:paraId="47E5D65F" w14:textId="36D4908C" w:rsidR="001D32DF" w:rsidRPr="008C13A3" w:rsidRDefault="001D32DF" w:rsidP="00296174">
      <w:pPr>
        <w:ind w:left="426" w:right="-17"/>
        <w:jc w:val="center"/>
        <w:rPr>
          <w:rFonts w:ascii="Arial" w:hAnsi="Arial" w:cs="Arial"/>
          <w:b/>
        </w:rPr>
      </w:pPr>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013759B6"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AD0406">
        <w:rPr>
          <w:rFonts w:ascii="Arial" w:hAnsi="Arial" w:cs="Arial"/>
          <w:b/>
          <w:bCs/>
          <w:sz w:val="22"/>
          <w:szCs w:val="22"/>
        </w:rPr>
        <w:t xml:space="preserve">Administrativo nº </w:t>
      </w:r>
      <w:r w:rsidR="00AD0406" w:rsidRPr="00AD0406">
        <w:rPr>
          <w:rFonts w:ascii="Arial" w:hAnsi="Arial" w:cs="Arial"/>
          <w:b/>
          <w:bCs/>
          <w:sz w:val="22"/>
          <w:szCs w:val="22"/>
        </w:rPr>
        <w:t>7820/2023</w:t>
      </w:r>
      <w:r w:rsidR="00AD0406">
        <w:rPr>
          <w:rFonts w:ascii="Arial" w:hAnsi="Arial" w:cs="Arial"/>
          <w:color w:val="FF0000"/>
          <w:sz w:val="22"/>
          <w:szCs w:val="22"/>
        </w:rPr>
        <w:t>,</w:t>
      </w:r>
      <w:r w:rsidR="005466C3" w:rsidRPr="008C13A3">
        <w:rPr>
          <w:rFonts w:ascii="Arial" w:hAnsi="Arial" w:cs="Arial"/>
          <w:b/>
          <w:bCs/>
          <w:color w:val="FF0000"/>
          <w:sz w:val="22"/>
          <w:szCs w:val="22"/>
        </w:rPr>
        <w:t xml:space="preserve"> </w:t>
      </w:r>
      <w:r w:rsidRPr="008C13A3">
        <w:rPr>
          <w:rFonts w:ascii="Arial" w:hAnsi="Arial" w:cs="Arial"/>
          <w:sz w:val="22"/>
          <w:szCs w:val="22"/>
        </w:rPr>
        <w:t xml:space="preserve">e em observância às disposições da Lei nº </w:t>
      </w:r>
      <w:r w:rsidR="00F232EF" w:rsidRPr="008C13A3">
        <w:rPr>
          <w:rFonts w:ascii="Arial" w:hAnsi="Arial" w:cs="Arial"/>
          <w:sz w:val="22"/>
          <w:szCs w:val="22"/>
        </w:rPr>
        <w:t xml:space="preserve">14.133, </w:t>
      </w:r>
      <w:r w:rsidR="009872FB" w:rsidRPr="008C13A3">
        <w:rPr>
          <w:rFonts w:ascii="Arial" w:hAnsi="Arial" w:cs="Arial"/>
          <w:sz w:val="22"/>
          <w:szCs w:val="22"/>
        </w:rPr>
        <w:t xml:space="preserve">de 1º de abril </w:t>
      </w:r>
      <w:r w:rsidR="00F232EF" w:rsidRPr="008C13A3">
        <w:rPr>
          <w:rFonts w:ascii="Arial" w:hAnsi="Arial" w:cs="Arial"/>
          <w:sz w:val="22"/>
          <w:szCs w:val="22"/>
        </w:rPr>
        <w:t>de 2021</w:t>
      </w:r>
      <w:r w:rsidR="0050761F" w:rsidRPr="008C13A3">
        <w:rPr>
          <w:rFonts w:ascii="Arial" w:hAnsi="Arial" w:cs="Arial"/>
          <w:sz w:val="22"/>
          <w:szCs w:val="22"/>
        </w:rPr>
        <w:t xml:space="preserve"> </w:t>
      </w:r>
      <w:r w:rsidR="0050761F" w:rsidRPr="008C13A3">
        <w:rPr>
          <w:rFonts w:ascii="Arial" w:hAnsi="Arial" w:cs="Arial"/>
          <w:sz w:val="22"/>
          <w:szCs w:val="22"/>
          <w:lang w:val="pt-PT"/>
        </w:rPr>
        <w:t xml:space="preserve">e </w:t>
      </w:r>
      <w:r w:rsidR="009872FB" w:rsidRPr="008C13A3">
        <w:rPr>
          <w:rFonts w:ascii="Arial" w:hAnsi="Arial" w:cs="Arial"/>
          <w:sz w:val="22"/>
          <w:szCs w:val="22"/>
          <w:lang w:val="pt-PT"/>
        </w:rPr>
        <w:t>demais legislações aplicáveis</w:t>
      </w:r>
      <w:r w:rsidR="006306EF" w:rsidRPr="008C13A3">
        <w:rPr>
          <w:rFonts w:ascii="Arial" w:hAnsi="Arial" w:cs="Arial"/>
          <w:sz w:val="22"/>
          <w:szCs w:val="22"/>
        </w:rPr>
        <w:t>,</w:t>
      </w:r>
      <w:r w:rsidRPr="008C13A3">
        <w:rPr>
          <w:rFonts w:ascii="Arial" w:hAnsi="Arial" w:cs="Arial"/>
          <w:i/>
          <w:sz w:val="22"/>
          <w:szCs w:val="22"/>
        </w:rPr>
        <w:t xml:space="preserve"> </w:t>
      </w:r>
      <w:r w:rsidRPr="008C13A3">
        <w:rPr>
          <w:rFonts w:ascii="Arial" w:hAnsi="Arial" w:cs="Arial"/>
          <w:sz w:val="22"/>
          <w:szCs w:val="22"/>
        </w:rPr>
        <w:t xml:space="preserve">resolvem celebrar o presente Termo de Contrato, decorrente do </w:t>
      </w:r>
      <w:r w:rsidR="005466C3" w:rsidRPr="00AD0406">
        <w:rPr>
          <w:rFonts w:ascii="Arial" w:hAnsi="Arial" w:cs="Arial"/>
          <w:b/>
          <w:bCs/>
          <w:sz w:val="22"/>
          <w:szCs w:val="22"/>
        </w:rPr>
        <w:t>Pregão Eletrônico</w:t>
      </w:r>
      <w:r w:rsidR="000B23ED" w:rsidRPr="00AD0406">
        <w:rPr>
          <w:rFonts w:ascii="Arial" w:hAnsi="Arial" w:cs="Arial"/>
          <w:b/>
          <w:bCs/>
          <w:sz w:val="22"/>
          <w:szCs w:val="22"/>
        </w:rPr>
        <w:t xml:space="preserve"> </w:t>
      </w:r>
      <w:r w:rsidR="005466C3" w:rsidRPr="00AD0406">
        <w:rPr>
          <w:rFonts w:ascii="Arial" w:hAnsi="Arial" w:cs="Arial"/>
          <w:b/>
          <w:bCs/>
          <w:sz w:val="22"/>
          <w:szCs w:val="22"/>
        </w:rPr>
        <w:t xml:space="preserve">nº </w:t>
      </w:r>
      <w:r w:rsidR="00AD0406" w:rsidRPr="00AD0406">
        <w:rPr>
          <w:rFonts w:ascii="Arial" w:hAnsi="Arial" w:cs="Arial"/>
          <w:b/>
          <w:bCs/>
          <w:sz w:val="22"/>
          <w:szCs w:val="22"/>
        </w:rPr>
        <w:t>125/2023</w:t>
      </w:r>
      <w:r w:rsidRPr="008C13A3">
        <w:rPr>
          <w:rFonts w:ascii="Arial" w:hAnsi="Arial" w:cs="Arial"/>
          <w:sz w:val="22"/>
          <w:szCs w:val="22"/>
        </w:rPr>
        <w:t>, mediante 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4B2D4078"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contratação</w:t>
      </w:r>
      <w:r w:rsidR="00DC5D78" w:rsidRPr="00DC5D78">
        <w:rPr>
          <w:rFonts w:ascii="Azo Sans Lt" w:hAnsi="Azo Sans Lt" w:cstheme="minorHAnsi"/>
          <w:szCs w:val="24"/>
        </w:rPr>
        <w:t xml:space="preserve"> </w:t>
      </w:r>
      <w:r w:rsidR="00DC5D78" w:rsidRPr="00DC5D78">
        <w:rPr>
          <w:rFonts w:ascii="Arial" w:hAnsi="Arial" w:cs="Arial"/>
          <w:bCs/>
          <w:iCs/>
        </w:rPr>
        <w:t>para futura e eventual aquisição, sob demanda</w:t>
      </w:r>
      <w:r w:rsidR="00DC5D78">
        <w:rPr>
          <w:rFonts w:ascii="Arial" w:hAnsi="Arial" w:cs="Arial"/>
          <w:bCs/>
          <w:iCs/>
        </w:rPr>
        <w:t>,</w:t>
      </w:r>
      <w:r w:rsidRPr="008C13A3">
        <w:rPr>
          <w:rFonts w:ascii="Arial" w:hAnsi="Arial" w:cs="Arial"/>
          <w:bCs/>
          <w:iCs/>
        </w:rPr>
        <w:t xml:space="preserve"> de</w:t>
      </w:r>
      <w:r w:rsidR="00510C82" w:rsidRPr="008C13A3">
        <w:rPr>
          <w:rFonts w:ascii="Arial" w:hAnsi="Arial" w:cs="Arial"/>
          <w:bCs/>
          <w:iCs/>
        </w:rPr>
        <w:t xml:space="preserve"> </w:t>
      </w:r>
      <w:r w:rsidR="00DC5D78" w:rsidRPr="00DC5D78">
        <w:rPr>
          <w:rFonts w:ascii="Arial" w:eastAsia="Times New Roman" w:hAnsi="Arial" w:cs="Arial"/>
          <w:b/>
          <w:bCs/>
          <w:lang w:val="pt-BR" w:eastAsia="pt-BR"/>
        </w:rPr>
        <w:t xml:space="preserve">MATERIAIS DE FISIOTERAPIA, para atender as necessidades da </w:t>
      </w:r>
      <w:bookmarkStart w:id="3" w:name="__DdeLink__11234_3383824197"/>
      <w:r w:rsidR="00DC5D78" w:rsidRPr="00DC5D78">
        <w:rPr>
          <w:rFonts w:ascii="Arial" w:eastAsia="Times New Roman" w:hAnsi="Arial" w:cs="Arial"/>
          <w:b/>
          <w:bCs/>
          <w:lang w:val="pt-BR" w:eastAsia="pt-BR"/>
        </w:rPr>
        <w:t>Subsecretaria de Atenção Básica/</w:t>
      </w:r>
      <w:bookmarkEnd w:id="3"/>
      <w:r w:rsidR="00DC5D78" w:rsidRPr="00DC5D78">
        <w:rPr>
          <w:rFonts w:ascii="Arial" w:eastAsia="Times New Roman" w:hAnsi="Arial" w:cs="Arial"/>
          <w:b/>
          <w:bCs/>
          <w:lang w:val="pt-BR" w:eastAsia="pt-BR"/>
        </w:rPr>
        <w:t>Coord. de Fisioterapia</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w:t>
      </w:r>
      <w:r w:rsidR="00DC5D78">
        <w:rPr>
          <w:rFonts w:ascii="Arial" w:hAnsi="Arial" w:cs="Arial"/>
          <w:bCs/>
          <w:iCs/>
        </w:rPr>
        <w:t>E</w:t>
      </w:r>
      <w:r w:rsidR="005466C3" w:rsidRPr="008C13A3">
        <w:rPr>
          <w:rFonts w:ascii="Arial" w:hAnsi="Arial" w:cs="Arial"/>
          <w:bCs/>
          <w:iCs/>
        </w:rPr>
        <w:t>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70D62B2B" w14:textId="4218AF0A" w:rsidR="009C3548" w:rsidRPr="008C13A3" w:rsidRDefault="009C3548"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O regime de execução contratual, o modelo de gestão, assim como os prazos e condições de conclusão, entrega, observação e recebimento </w:t>
      </w:r>
      <w:r w:rsidR="007E7BBF" w:rsidRPr="008C13A3">
        <w:rPr>
          <w:rFonts w:ascii="Arial" w:hAnsi="Arial" w:cs="Arial"/>
          <w:bCs/>
          <w:iCs/>
        </w:rPr>
        <w:t>do objeto</w:t>
      </w:r>
      <w:r w:rsidRPr="008C13A3">
        <w:rPr>
          <w:rFonts w:ascii="Arial" w:hAnsi="Arial" w:cs="Arial"/>
          <w:bCs/>
          <w:iCs/>
        </w:rPr>
        <w:t xml:space="preserve"> constam no Termo de Referência, anexo a este Contrato.</w:t>
      </w:r>
    </w:p>
    <w:p w14:paraId="57172C7F" w14:textId="77777777" w:rsidR="007B0D84" w:rsidRPr="008C13A3" w:rsidRDefault="007B0D84"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AD0406"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AD0406">
        <w:rPr>
          <w:rFonts w:ascii="Arial" w:hAnsi="Arial" w:cs="Arial"/>
          <w:bCs/>
          <w:iCs/>
        </w:rPr>
        <w:t>O valor total da contratação é de R$.......... (.....)</w:t>
      </w:r>
    </w:p>
    <w:p w14:paraId="19E0CAC1" w14:textId="3066B963" w:rsidR="001D32DF" w:rsidRPr="008C13A3"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AD0406"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AD0406">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218FA987" w14:textId="77777777" w:rsidR="00BE4E9F" w:rsidRPr="008C13A3" w:rsidRDefault="00BE4E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para pagamento ao contratado e demais condições a ele referentes encontram-se definidos no Termo de Referência, anexo a este Contrato.</w:t>
      </w:r>
    </w:p>
    <w:p w14:paraId="4357BEEB" w14:textId="189CCBA2" w:rsidR="00BE4E9F" w:rsidRPr="008C13A3" w:rsidRDefault="00BE4E9F"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8C13A3"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lastRenderedPageBreak/>
        <w:t>CLÁUSULA SÉTIMA - REAJUSTE (art. 92, V)</w:t>
      </w:r>
    </w:p>
    <w:p w14:paraId="6348F2F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
          <w:color w:val="FF0000"/>
        </w:rPr>
      </w:pPr>
      <w:r w:rsidRPr="008C13A3">
        <w:rPr>
          <w:rFonts w:ascii="Arial" w:hAnsi="Arial" w:cs="Arial"/>
          <w:bCs/>
          <w:iCs/>
        </w:rPr>
        <w:t xml:space="preserve">Os preços inicialmente contratados são fixos e irreajustáveis no prazo de um ano contado da data do orçamento estimado, em </w:t>
      </w:r>
      <w:r w:rsidRPr="00AD0406">
        <w:rPr>
          <w:rFonts w:ascii="Arial" w:hAnsi="Arial" w:cs="Arial"/>
          <w:bCs/>
          <w:iCs/>
        </w:rPr>
        <w:t>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terá o prazo de </w:t>
      </w:r>
      <w:r w:rsidRPr="00DC5D78">
        <w:rPr>
          <w:rFonts w:ascii="Arial" w:hAnsi="Arial" w:cs="Arial"/>
          <w:bCs/>
          <w:iCs/>
        </w:rPr>
        <w:t>1 (um) mês</w:t>
      </w:r>
      <w:r w:rsidRPr="008C13A3">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Responder eventuais pedidos de reestabelecimento do equilíbrio econômico-financeiro feitos pelo contratado no prazo máximo de </w:t>
      </w:r>
      <w:r w:rsidRPr="00DC5D78">
        <w:rPr>
          <w:rFonts w:ascii="Arial" w:hAnsi="Arial" w:cs="Arial"/>
          <w:bCs/>
          <w:iCs/>
        </w:rPr>
        <w:t>1 (um) mês</w:t>
      </w:r>
      <w:r w:rsidRPr="00DC5D78">
        <w:rPr>
          <w:rFonts w:ascii="Arial" w:hAnsi="Arial" w:cs="Arial"/>
          <w:bCs/>
          <w:iCs/>
          <w:lang w:val="pt-BR"/>
        </w:rPr>
        <w:t>.</w:t>
      </w:r>
    </w:p>
    <w:p w14:paraId="35C48DCF" w14:textId="4588EFA8" w:rsidR="00A27B94" w:rsidRPr="00DC5D78"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5D78">
        <w:rPr>
          <w:rFonts w:ascii="Arial" w:hAnsi="Arial" w:cs="Arial"/>
          <w:bCs/>
          <w:iCs/>
          <w:lang w:val="pt-BR"/>
        </w:rPr>
        <w:t>Notificar os emitentes das garantias quanto ao início de processo administrativo para apuração de descumprimento de cláusulas contratuais.</w:t>
      </w:r>
    </w:p>
    <w:p w14:paraId="5080FE7D"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1"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FA36FA1" w14:textId="77777777" w:rsidR="00583909" w:rsidRPr="00DC5D78"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DC5D78">
        <w:rPr>
          <w:rFonts w:ascii="Arial" w:hAnsi="Arial" w:cs="Arial"/>
        </w:rPr>
        <w:t>Entregar o objeto acompanhado do manual do usuário, com uma versão em português, e da relação da rede de assistência técnica autorizada;</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2"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3"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0C315087" w14:textId="77777777" w:rsidR="00583909" w:rsidRPr="008C13A3" w:rsidRDefault="00583909" w:rsidP="00583909">
      <w:pPr>
        <w:pStyle w:val="PargrafodaLista"/>
        <w:rPr>
          <w:rFonts w:ascii="Arial" w:hAnsi="Arial" w:cs="Arial"/>
          <w:bCs/>
          <w:iCs/>
          <w:lang w:val="pt-BR"/>
        </w:rPr>
      </w:pP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4"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5"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w:t>
      </w:r>
      <w:r w:rsidRPr="008C13A3">
        <w:rPr>
          <w:sz w:val="22"/>
          <w:szCs w:val="22"/>
        </w:rPr>
        <w:lastRenderedPageBreak/>
        <w:t xml:space="preserve">seja satisfatório para o atendimento do objeto da contratação, exceto quando ocorrer algum dos eventos arrolados no </w:t>
      </w:r>
      <w:hyperlink r:id="rId16" w:anchor="art124" w:history="1">
        <w:r w:rsidRPr="008C13A3">
          <w:rPr>
            <w:rStyle w:val="Hyperlink"/>
            <w:sz w:val="22"/>
            <w:szCs w:val="22"/>
          </w:rPr>
          <w:t>art. 124, II, d, da Lei nº 14.133, de 2021.</w:t>
        </w:r>
      </w:hyperlink>
    </w:p>
    <w:p w14:paraId="35B655A2" w14:textId="77777777"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7"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8"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19"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0" w:anchor="art156§2" w:history="1">
        <w:r w:rsidRPr="008C13A3">
          <w:rPr>
            <w:rStyle w:val="Hyperlink"/>
            <w:rFonts w:ascii="Arial" w:eastAsia="Arial" w:hAnsi="Arial" w:cs="Arial"/>
          </w:rPr>
          <w:t xml:space="preserve">art. 156, §2º, da </w:t>
        </w:r>
        <w:bookmarkStart w:id="4" w:name="_Hlk114504069"/>
        <w:r w:rsidRPr="008C13A3">
          <w:rPr>
            <w:rStyle w:val="Hyperlink"/>
            <w:rFonts w:ascii="Arial" w:eastAsia="Arial" w:hAnsi="Arial" w:cs="Arial"/>
          </w:rPr>
          <w:t>Lei nº 14.133, de 2021</w:t>
        </w:r>
        <w:bookmarkEnd w:id="4"/>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1"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2"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lastRenderedPageBreak/>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Compensatória, para as infrações descritas nas alíneas “e” a “h” do subitem 12.1,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5573152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12.1,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32CD9C2A"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infração descrita na alínea “b” do subitem 12.1,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7F43CBF9"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infrações descritas na alínea “d” do subitem 12.1,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C7C94F0"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Para a infração descrita na alínea “a” do subitem 12.1,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3"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4"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5"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6"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7"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8"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lastRenderedPageBreak/>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29"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0"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1"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2"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3"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4"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5"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6"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7"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8"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39"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0C7679C6"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0"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4BDDC0FA" w14:textId="10BF4582" w:rsidR="004E7BAC" w:rsidRPr="004E7BAC" w:rsidRDefault="004E7BAC" w:rsidP="004E7BAC">
      <w:pPr>
        <w:spacing w:line="323" w:lineRule="atLeast"/>
        <w:jc w:val="both"/>
        <w:rPr>
          <w:rFonts w:ascii="Arial" w:hAnsi="Arial" w:cs="Arial"/>
        </w:rPr>
      </w:pPr>
      <w:r w:rsidRPr="004E7BAC">
        <w:rPr>
          <w:rFonts w:ascii="Arial" w:hAnsi="Arial" w:cs="Arial"/>
        </w:rPr>
        <w:t xml:space="preserve">13.1 </w:t>
      </w:r>
      <w:r w:rsidRPr="004E7BAC">
        <w:rPr>
          <w:rFonts w:ascii="Arial" w:hAnsi="Arial" w:cs="Arial"/>
        </w:rPr>
        <w:t>As despesas decorrentes da presente contratação correrão à conta de recursos específicos consignados no Orçamento do Município;</w:t>
      </w:r>
    </w:p>
    <w:p w14:paraId="7DCF820D" w14:textId="72D8A146" w:rsidR="004E7BAC" w:rsidRPr="004E7BAC" w:rsidRDefault="004E7BAC" w:rsidP="004E7BAC">
      <w:pPr>
        <w:pStyle w:val="PargrafodaLista"/>
        <w:numPr>
          <w:ilvl w:val="1"/>
          <w:numId w:val="10"/>
        </w:numPr>
        <w:spacing w:line="323" w:lineRule="atLeast"/>
        <w:jc w:val="both"/>
        <w:rPr>
          <w:rFonts w:ascii="Arial" w:hAnsi="Arial" w:cs="Arial"/>
        </w:rPr>
      </w:pPr>
      <w:r w:rsidRPr="004E7BAC">
        <w:rPr>
          <w:rFonts w:ascii="Arial" w:hAnsi="Arial" w:cs="Arial"/>
        </w:rPr>
        <w:t>A contratação será atendida pela seguinte dotação:</w:t>
      </w:r>
    </w:p>
    <w:p w14:paraId="2193A4B6" w14:textId="04A47087" w:rsidR="004E7BAC" w:rsidRPr="004E7BAC" w:rsidRDefault="004E7BAC" w:rsidP="004E7BAC">
      <w:pPr>
        <w:pStyle w:val="PargrafodaLista"/>
        <w:numPr>
          <w:ilvl w:val="2"/>
          <w:numId w:val="10"/>
        </w:numPr>
        <w:spacing w:line="323" w:lineRule="atLeast"/>
        <w:jc w:val="both"/>
        <w:rPr>
          <w:rFonts w:ascii="Arial" w:hAnsi="Arial" w:cs="Arial"/>
        </w:rPr>
      </w:pPr>
      <w:r w:rsidRPr="004E7BAC">
        <w:rPr>
          <w:rFonts w:ascii="Arial" w:hAnsi="Arial" w:cs="Arial"/>
        </w:rPr>
        <w:t xml:space="preserve"> </w:t>
      </w:r>
      <w:r w:rsidRPr="004E7BAC">
        <w:rPr>
          <w:rFonts w:ascii="Arial" w:hAnsi="Arial" w:cs="Arial"/>
        </w:rPr>
        <w:t>Gestão/Unidade: Subsecretaria de Atenção Básica/Coord. de Fisioterapia;</w:t>
      </w:r>
    </w:p>
    <w:p w14:paraId="216AE8B6" w14:textId="7B58D2AC" w:rsidR="004E7BAC" w:rsidRPr="004E7BAC" w:rsidRDefault="004E7BAC" w:rsidP="004E7BAC">
      <w:pPr>
        <w:pStyle w:val="PargrafodaLista"/>
        <w:numPr>
          <w:ilvl w:val="2"/>
          <w:numId w:val="10"/>
        </w:numPr>
        <w:spacing w:line="323" w:lineRule="atLeast"/>
        <w:jc w:val="both"/>
        <w:rPr>
          <w:rFonts w:ascii="Arial" w:hAnsi="Arial" w:cs="Arial"/>
        </w:rPr>
      </w:pPr>
      <w:r w:rsidRPr="004E7BAC">
        <w:rPr>
          <w:rFonts w:ascii="Arial" w:hAnsi="Arial" w:cs="Arial"/>
        </w:rPr>
        <w:t xml:space="preserve"> </w:t>
      </w:r>
      <w:r w:rsidRPr="004E7BAC">
        <w:rPr>
          <w:rFonts w:ascii="Arial" w:hAnsi="Arial" w:cs="Arial"/>
        </w:rPr>
        <w:t>Fonte de Recursos: SUS – 1600;</w:t>
      </w:r>
    </w:p>
    <w:p w14:paraId="2BEAFDF8" w14:textId="6763A9BA" w:rsidR="004E7BAC" w:rsidRPr="004E7BAC" w:rsidRDefault="004E7BAC" w:rsidP="004E7BAC">
      <w:pPr>
        <w:pStyle w:val="PargrafodaLista"/>
        <w:numPr>
          <w:ilvl w:val="2"/>
          <w:numId w:val="10"/>
        </w:numPr>
        <w:spacing w:line="323" w:lineRule="atLeast"/>
        <w:ind w:left="0" w:firstLine="0"/>
        <w:jc w:val="both"/>
        <w:rPr>
          <w:rFonts w:ascii="Arial" w:hAnsi="Arial" w:cs="Arial"/>
        </w:rPr>
      </w:pPr>
      <w:r w:rsidRPr="004E7BAC">
        <w:rPr>
          <w:rFonts w:ascii="Arial" w:hAnsi="Arial" w:cs="Arial"/>
        </w:rPr>
        <w:t xml:space="preserve"> </w:t>
      </w:r>
      <w:r w:rsidRPr="004E7BAC">
        <w:rPr>
          <w:rFonts w:ascii="Arial" w:hAnsi="Arial" w:cs="Arial"/>
        </w:rPr>
        <w:t>Programa de Trabalho: 30001.10.301.0083.2.193;</w:t>
      </w:r>
    </w:p>
    <w:p w14:paraId="1F013915" w14:textId="471ABA23" w:rsidR="004E7BAC" w:rsidRPr="004E7BAC" w:rsidRDefault="004E7BAC" w:rsidP="004E7BAC">
      <w:pPr>
        <w:pStyle w:val="PargrafodaLista"/>
        <w:numPr>
          <w:ilvl w:val="2"/>
          <w:numId w:val="10"/>
        </w:numPr>
        <w:spacing w:line="323" w:lineRule="atLeast"/>
        <w:jc w:val="both"/>
        <w:rPr>
          <w:rFonts w:ascii="Arial" w:hAnsi="Arial" w:cs="Arial"/>
        </w:rPr>
      </w:pPr>
      <w:r w:rsidRPr="004E7BAC">
        <w:rPr>
          <w:rFonts w:ascii="Arial" w:hAnsi="Arial" w:cs="Arial"/>
        </w:rPr>
        <w:lastRenderedPageBreak/>
        <w:t xml:space="preserve"> </w:t>
      </w:r>
      <w:r w:rsidRPr="004E7BAC">
        <w:rPr>
          <w:rFonts w:ascii="Arial" w:hAnsi="Arial" w:cs="Arial"/>
        </w:rPr>
        <w:t>Elemento de Despesa: 33.90.30.00;</w:t>
      </w:r>
    </w:p>
    <w:p w14:paraId="2347A88F" w14:textId="66C2216D" w:rsidR="004E7BAC" w:rsidRPr="004E7BAC" w:rsidRDefault="004E7BAC" w:rsidP="004E7BAC">
      <w:pPr>
        <w:pStyle w:val="PargrafodaLista"/>
        <w:numPr>
          <w:ilvl w:val="1"/>
          <w:numId w:val="10"/>
        </w:numPr>
        <w:spacing w:line="323" w:lineRule="atLeast"/>
        <w:ind w:left="0" w:firstLine="0"/>
        <w:jc w:val="both"/>
        <w:rPr>
          <w:rFonts w:ascii="Arial" w:hAnsi="Arial" w:cs="Arial"/>
        </w:rPr>
      </w:pPr>
      <w:r w:rsidRPr="004E7BAC">
        <w:rPr>
          <w:rFonts w:ascii="Arial" w:hAnsi="Arial" w:cs="Arial"/>
        </w:rPr>
        <w:t xml:space="preserve">As notas fiscais deverão ser emitidas em nome do </w:t>
      </w:r>
      <w:r w:rsidRPr="004E7BAC">
        <w:rPr>
          <w:rFonts w:ascii="Arial" w:eastAsiaTheme="majorEastAsia" w:hAnsi="Arial" w:cs="Arial"/>
          <w:b/>
          <w:bCs/>
          <w:lang w:val="pt-BR" w:eastAsia="pt-BR"/>
        </w:rPr>
        <w:t>FUNDO MUNICIPAL DE SAÚDE, CNPJ: 11.399.442/0001-79 – AVENIDA ALBERTO BRAUNE, Nº 224, SALA 221, CENTRO, NOVA FRIBURGO/RJ, CEP 28613-001</w:t>
      </w:r>
      <w:r w:rsidRPr="004E7BAC">
        <w:rPr>
          <w:rFonts w:ascii="Arial" w:hAnsi="Arial" w:cs="Arial"/>
        </w:rPr>
        <w:t>.</w:t>
      </w:r>
    </w:p>
    <w:p w14:paraId="120C7BB4" w14:textId="55DA11C1" w:rsidR="00D90EA5" w:rsidRPr="008C13A3" w:rsidRDefault="00D90EA5" w:rsidP="004E7BAC">
      <w:pPr>
        <w:pStyle w:val="Nivel01"/>
        <w:numPr>
          <w:ilvl w:val="0"/>
          <w:numId w:val="10"/>
        </w:numPr>
        <w:tabs>
          <w:tab w:val="left" w:pos="284"/>
          <w:tab w:val="left" w:pos="993"/>
        </w:tabs>
        <w:spacing w:line="276" w:lineRule="auto"/>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1"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4E7BAC">
      <w:pPr>
        <w:pStyle w:val="PargrafodaLista"/>
        <w:numPr>
          <w:ilvl w:val="1"/>
          <w:numId w:val="10"/>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2"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3"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4E7BAC">
      <w:pPr>
        <w:pStyle w:val="Nivel01"/>
        <w:numPr>
          <w:ilvl w:val="0"/>
          <w:numId w:val="10"/>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4E7BAC">
      <w:pPr>
        <w:pStyle w:val="PargrafodaLista"/>
        <w:numPr>
          <w:ilvl w:val="1"/>
          <w:numId w:val="10"/>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4"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4E7BAC">
      <w:pPr>
        <w:pStyle w:val="PargrafodaLista"/>
        <w:numPr>
          <w:ilvl w:val="1"/>
          <w:numId w:val="10"/>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4E7BAC">
      <w:pPr>
        <w:pStyle w:val="PargrafodaLista"/>
        <w:numPr>
          <w:ilvl w:val="1"/>
          <w:numId w:val="10"/>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4E7BAC">
      <w:pPr>
        <w:pStyle w:val="PargrafodaLista"/>
        <w:widowControl/>
        <w:numPr>
          <w:ilvl w:val="1"/>
          <w:numId w:val="10"/>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5"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4E7BAC">
      <w:pPr>
        <w:pStyle w:val="Nivel010"/>
        <w:numPr>
          <w:ilvl w:val="0"/>
          <w:numId w:val="10"/>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4E7BAC">
      <w:pPr>
        <w:pStyle w:val="PargrafodaLista"/>
        <w:numPr>
          <w:ilvl w:val="1"/>
          <w:numId w:val="10"/>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6"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7"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8"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4E7BAC">
      <w:pPr>
        <w:pStyle w:val="Nivel010"/>
        <w:numPr>
          <w:ilvl w:val="0"/>
          <w:numId w:val="10"/>
        </w:numPr>
        <w:rPr>
          <w:sz w:val="22"/>
          <w:szCs w:val="22"/>
        </w:rPr>
      </w:pPr>
      <w:r w:rsidRPr="008C13A3">
        <w:rPr>
          <w:sz w:val="22"/>
          <w:szCs w:val="22"/>
        </w:rPr>
        <w:t xml:space="preserve">- </w:t>
      </w:r>
      <w:r w:rsidR="00885E3B" w:rsidRPr="008C13A3">
        <w:rPr>
          <w:sz w:val="22"/>
          <w:szCs w:val="22"/>
        </w:rPr>
        <w:t>CLÁUSULA DÉCIMA SÉTIMA– FORO (</w:t>
      </w:r>
      <w:hyperlink r:id="rId49"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4E7BAC">
      <w:pPr>
        <w:pStyle w:val="PargrafodaLista"/>
        <w:numPr>
          <w:ilvl w:val="1"/>
          <w:numId w:val="10"/>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4E7BAC">
      <w:pPr>
        <w:pStyle w:val="PargrafodaLista"/>
        <w:numPr>
          <w:ilvl w:val="1"/>
          <w:numId w:val="10"/>
        </w:numPr>
        <w:tabs>
          <w:tab w:val="left" w:pos="426"/>
        </w:tabs>
        <w:ind w:left="0" w:firstLine="0"/>
        <w:jc w:val="both"/>
        <w:rPr>
          <w:rFonts w:ascii="Arial" w:hAnsi="Arial" w:cs="Arial"/>
        </w:rPr>
      </w:pPr>
      <w:r w:rsidRPr="008C13A3">
        <w:rPr>
          <w:rFonts w:ascii="Arial" w:hAnsi="Arial" w:cs="Arial"/>
        </w:rPr>
        <w:t xml:space="preserve">Para firmeza e validade do pactuado, o presente Termo de Contrato foi lavrado </w:t>
      </w:r>
      <w:r w:rsidRPr="004E7BAC">
        <w:rPr>
          <w:rFonts w:ascii="Arial" w:hAnsi="Arial" w:cs="Arial"/>
        </w:rPr>
        <w:t xml:space="preserve">em </w:t>
      </w:r>
      <w:r w:rsidR="00466BF6" w:rsidRPr="004E7BAC">
        <w:rPr>
          <w:rFonts w:ascii="Arial" w:hAnsi="Arial" w:cs="Arial"/>
        </w:rPr>
        <w:t>03</w:t>
      </w:r>
      <w:r w:rsidRPr="004E7BAC">
        <w:rPr>
          <w:rFonts w:ascii="Arial" w:hAnsi="Arial" w:cs="Arial"/>
        </w:rPr>
        <w:t xml:space="preserve"> (</w:t>
      </w:r>
      <w:r w:rsidR="00466BF6" w:rsidRPr="004E7BAC">
        <w:rPr>
          <w:rFonts w:ascii="Arial" w:hAnsi="Arial" w:cs="Arial"/>
        </w:rPr>
        <w:t>três</w:t>
      </w:r>
      <w:r w:rsidRPr="004E7BAC">
        <w:rPr>
          <w:rFonts w:ascii="Arial" w:hAnsi="Arial" w:cs="Arial"/>
        </w:rPr>
        <w:t>) vias de igual teor, que, depois de lido e achado em ordem, vai assinado pelos contra</w:t>
      </w:r>
      <w:r w:rsidRPr="008C13A3">
        <w:rPr>
          <w:rFonts w:ascii="Arial" w:hAnsi="Arial" w:cs="Arial"/>
        </w:rPr>
        <w:t xml:space="preserve">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02870CA4"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4E7BAC">
        <w:rPr>
          <w:rFonts w:ascii="Arial" w:hAnsi="Arial" w:cs="Arial"/>
        </w:rPr>
        <w:t>23.</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14BAF018" w14:textId="62998974" w:rsidR="0055035E" w:rsidRPr="008C13A3" w:rsidRDefault="0055035E" w:rsidP="001F44F7">
      <w:pPr>
        <w:spacing w:after="120"/>
        <w:jc w:val="both"/>
        <w:rPr>
          <w:rFonts w:ascii="Arial" w:hAnsi="Arial" w:cs="Arial"/>
        </w:rPr>
      </w:pP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075BC99C" w14:textId="67520E5B" w:rsidR="0055035E" w:rsidRPr="008C13A3" w:rsidRDefault="0055035E" w:rsidP="001F44F7">
      <w:pPr>
        <w:spacing w:after="120"/>
        <w:jc w:val="both"/>
        <w:rPr>
          <w:rFonts w:ascii="Arial" w:hAnsi="Arial" w:cs="Arial"/>
        </w:rPr>
      </w:pP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9F2F85">
      <w:headerReference w:type="default" r:id="rId50"/>
      <w:footerReference w:type="default" r:id="rId51"/>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DA49B" w14:textId="77777777" w:rsidR="009E6B75" w:rsidRDefault="009E6B75">
      <w:r>
        <w:separator/>
      </w:r>
    </w:p>
  </w:endnote>
  <w:endnote w:type="continuationSeparator" w:id="0">
    <w:p w14:paraId="008E9D20" w14:textId="77777777" w:rsidR="009E6B75" w:rsidRDefault="009E6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67338845"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2523-1113</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7A376" w14:textId="77777777" w:rsidR="009E6B75" w:rsidRDefault="009E6B75">
      <w:r>
        <w:separator/>
      </w:r>
    </w:p>
  </w:footnote>
  <w:footnote w:type="continuationSeparator" w:id="0">
    <w:p w14:paraId="7781A74E" w14:textId="77777777" w:rsidR="009E6B75" w:rsidRDefault="009E6B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46D16" w14:textId="2FF745C6" w:rsidR="00AD0406" w:rsidRDefault="00AD0406" w:rsidP="00BB408F">
    <w:pPr>
      <w:pStyle w:val="Ttulo8"/>
      <w:pBdr>
        <w:bottom w:val="single" w:sz="4" w:space="1" w:color="auto"/>
      </w:pBdr>
      <w:tabs>
        <w:tab w:val="left" w:pos="1488"/>
        <w:tab w:val="left" w:pos="10912"/>
      </w:tabs>
    </w:pPr>
    <w:r>
      <w:rPr>
        <w:noProof/>
      </w:rPr>
      <mc:AlternateContent>
        <mc:Choice Requires="wps">
          <w:drawing>
            <wp:anchor distT="0" distB="0" distL="0" distR="0" simplePos="0" relativeHeight="251662336" behindDoc="1" locked="0" layoutInCell="1" allowOverlap="1" wp14:anchorId="025C567C" wp14:editId="4ACB8331">
              <wp:simplePos x="0" y="0"/>
              <wp:positionH relativeFrom="column">
                <wp:posOffset>3998906</wp:posOffset>
              </wp:positionH>
              <wp:positionV relativeFrom="paragraph">
                <wp:posOffset>-6446</wp:posOffset>
              </wp:positionV>
              <wp:extent cx="1876425" cy="408305"/>
              <wp:effectExtent l="0" t="0" r="28575" b="1079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6F841FA8" w14:textId="77777777" w:rsidR="00AD0406" w:rsidRDefault="00AD0406" w:rsidP="00AD0406">
                          <w:pPr>
                            <w:pStyle w:val="SemEspaamento"/>
                            <w:rPr>
                              <w:rFonts w:cs="Calibri"/>
                              <w:sz w:val="20"/>
                              <w:szCs w:val="20"/>
                            </w:rPr>
                          </w:pPr>
                          <w:r>
                            <w:rPr>
                              <w:rFonts w:cs="Calibri"/>
                              <w:sz w:val="20"/>
                              <w:szCs w:val="20"/>
                            </w:rPr>
                            <w:t xml:space="preserve">PROCESSO Nº: 8720/2023 </w:t>
                          </w:r>
                        </w:p>
                        <w:p w14:paraId="3ABF757B" w14:textId="77777777" w:rsidR="00AD0406" w:rsidRDefault="00AD0406" w:rsidP="00AD0406">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025C567C" id="Retângulo 3" o:spid="_x0000_s1026" style="position:absolute;margin-left:314.85pt;margin-top:-.5pt;width:147.75pt;height:32.15pt;z-index:-2516541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" strokeweight=".26mm">
              <v:stroke joinstyle="round"/>
              <v:path arrowok="t"/>
              <v:textbox>
                <w:txbxContent>
                  <w:p w14:paraId="6F841FA8" w14:textId="77777777" w:rsidR="00AD0406" w:rsidRDefault="00AD0406" w:rsidP="00AD0406">
                    <w:pPr>
                      <w:pStyle w:val="SemEspaamento"/>
                      <w:rPr>
                        <w:rFonts w:cs="Calibri"/>
                        <w:sz w:val="20"/>
                        <w:szCs w:val="20"/>
                      </w:rPr>
                    </w:pPr>
                    <w:r>
                      <w:rPr>
                        <w:rFonts w:cs="Calibri"/>
                        <w:sz w:val="20"/>
                        <w:szCs w:val="20"/>
                      </w:rPr>
                      <w:t xml:space="preserve">PROCESSO Nº: 8720/2023 </w:t>
                    </w:r>
                  </w:p>
                  <w:p w14:paraId="3ABF757B" w14:textId="77777777" w:rsidR="00AD0406" w:rsidRDefault="00AD0406" w:rsidP="00AD0406">
                    <w:pPr>
                      <w:pStyle w:val="SemEspaamento"/>
                      <w:rPr>
                        <w:sz w:val="20"/>
                        <w:szCs w:val="20"/>
                      </w:rPr>
                    </w:pPr>
                    <w:r>
                      <w:rPr>
                        <w:rFonts w:cs="Calibri"/>
                        <w:sz w:val="20"/>
                        <w:szCs w:val="20"/>
                      </w:rPr>
                      <w:t xml:space="preserve">RUBRICA:______FOLHA:______ </w:t>
                    </w:r>
                  </w:p>
                </w:txbxContent>
              </v:textbox>
            </v:rect>
          </w:pict>
        </mc:Fallback>
      </mc:AlternateContent>
    </w:r>
    <w:r w:rsidRPr="00767235">
      <w:rPr>
        <w:noProof/>
        <w:szCs w:val="20"/>
      </w:rPr>
      <w:drawing>
        <wp:anchor distT="0" distB="0" distL="114300" distR="114300" simplePos="0" relativeHeight="251661312" behindDoc="1" locked="0" layoutInCell="1" allowOverlap="1" wp14:anchorId="28768B5A" wp14:editId="707E93F6">
          <wp:simplePos x="0" y="0"/>
          <wp:positionH relativeFrom="column">
            <wp:posOffset>-103517</wp:posOffset>
          </wp:positionH>
          <wp:positionV relativeFrom="paragraph">
            <wp:posOffset>-244295</wp:posOffset>
          </wp:positionV>
          <wp:extent cx="3714750" cy="939165"/>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0" cy="939165"/>
                  </a:xfrm>
                  <a:prstGeom prst="rect">
                    <a:avLst/>
                  </a:prstGeom>
                  <a:noFill/>
                </pic:spPr>
              </pic:pic>
            </a:graphicData>
          </a:graphic>
          <wp14:sizeRelH relativeFrom="margin">
            <wp14:pctWidth>0</wp14:pctWidth>
          </wp14:sizeRelH>
        </wp:anchor>
      </w:drawing>
    </w:r>
  </w:p>
  <w:p w14:paraId="62E63193" w14:textId="3DC454D5" w:rsidR="008743A2" w:rsidRDefault="008743A2" w:rsidP="00BB408F">
    <w:pPr>
      <w:pStyle w:val="Ttulo8"/>
      <w:pBdr>
        <w:bottom w:val="single" w:sz="4" w:space="1" w:color="auto"/>
      </w:pBdr>
      <w:tabs>
        <w:tab w:val="left" w:pos="1488"/>
        <w:tab w:val="left" w:pos="10912"/>
      </w:tabs>
    </w:pPr>
  </w:p>
  <w:p w14:paraId="3408BB34" w14:textId="218F07FC" w:rsidR="008743A2" w:rsidRDefault="008743A2" w:rsidP="00BB408F"/>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6A268F74"/>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color w:val="auto"/>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3304D"/>
    <w:multiLevelType w:val="multilevel"/>
    <w:tmpl w:val="53CE880C"/>
    <w:lvl w:ilvl="0">
      <w:start w:val="13"/>
      <w:numFmt w:val="decimal"/>
      <w:lvlText w:val="%1"/>
      <w:lvlJc w:val="left"/>
      <w:pPr>
        <w:ind w:left="525" w:hanging="525"/>
      </w:pPr>
      <w:rPr>
        <w:rFonts w:hint="default"/>
        <w:color w:val="auto"/>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6"/>
  </w:num>
  <w:num w:numId="5">
    <w:abstractNumId w:val="2"/>
  </w:num>
  <w:num w:numId="6">
    <w:abstractNumId w:val="9"/>
  </w:num>
  <w:num w:numId="7">
    <w:abstractNumId w:val="3"/>
  </w:num>
  <w:num w:numId="8">
    <w:abstractNumId w:val="8"/>
  </w:num>
  <w:num w:numId="9">
    <w:abstractNumId w:val="7"/>
  </w:num>
  <w:num w:numId="10">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504B"/>
    <w:rsid w:val="00296174"/>
    <w:rsid w:val="002A4753"/>
    <w:rsid w:val="002A5731"/>
    <w:rsid w:val="002A7071"/>
    <w:rsid w:val="002B28F4"/>
    <w:rsid w:val="002B3DAB"/>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4E7BAC"/>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E6B75"/>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D0406"/>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5D78"/>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1/lei/l12527.ht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www.planalto.gov.br/ccivil_03/leis/l8078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1-2014/2013/lei/l12846.htm" TargetMode="External"/><Relationship Id="rId31" Type="http://schemas.openxmlformats.org/officeDocument/2006/relationships/hyperlink" Target="http://www.planalto.gov.br/ccivil_03/_ato2019-2022/2021/lei/L14133.htm%25art159"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_ato2011-2014/2013/lei/l12846.htm" TargetMode="External"/><Relationship Id="rId35" Type="http://schemas.openxmlformats.org/officeDocument/2006/relationships/hyperlink" Target="https://www.gov.br/compras/pt-br/acesso-a-informacao/legislacao/instrucoes-normativas/instrucao-normativa-seges-me-no-26-de-13-de-abril-de-2022" TargetMode="External"/><Relationship Id="rId43" Type="http://schemas.openxmlformats.org/officeDocument/2006/relationships/hyperlink" Target="https://www.planalto.gov.br/ccivil_03/leis/l8078compilado.htm" TargetMode="External"/><Relationship Id="rId48" Type="http://schemas.openxmlformats.org/officeDocument/2006/relationships/hyperlink" Target="https://www.planalto.gov.br/ccivil_03/_ato2011-2014/2012/decreto/d7724.htm" TargetMode="External"/><Relationship Id="rId8" Type="http://schemas.openxmlformats.org/officeDocument/2006/relationships/endnotes" Target="endnotes.xml"/><Relationship Id="rId51"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11</Pages>
  <Words>4324</Words>
  <Characters>23355</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35</cp:revision>
  <cp:lastPrinted>2023-08-22T17:19:00Z</cp:lastPrinted>
  <dcterms:created xsi:type="dcterms:W3CDTF">2023-08-18T18:10:00Z</dcterms:created>
  <dcterms:modified xsi:type="dcterms:W3CDTF">2023-09-20T16:26:00Z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